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提前下达2023年中央财政医疗服务与保障能力提升（中医药事业传承与发展）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中医全科转岗培训</w:t>
      </w:r>
      <w:r>
        <w:rPr>
          <w:rFonts w:hint="eastAsia" w:ascii="方正小标宋简体" w:hAnsi="Arial" w:eastAsia="方正小标宋简体" w:cs="Arial"/>
          <w:sz w:val="40"/>
          <w:szCs w:val="40"/>
        </w:rPr>
        <w:t>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numPr>
          <w:ilvl w:val="0"/>
          <w:numId w:val="1"/>
        </w:numPr>
        <w:spacing w:line="360" w:lineRule="auto"/>
        <w:ind w:firstLine="641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项目基本情况</w:t>
      </w:r>
    </w:p>
    <w:p>
      <w:pPr>
        <w:ind w:firstLine="640" w:firstLineChars="200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中医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全科转岗培训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是为规范化培养中医药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基层全科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人才的项目。贯彻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国家下发的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《基层医疗卫生机构中医全科医生转岗培训大纲（试行）》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（</w:t>
      </w:r>
      <w:r>
        <w:rPr>
          <w:rFonts w:ascii="宋体" w:hAnsi="宋体" w:cs="宋体"/>
          <w:kern w:val="0"/>
          <w:sz w:val="32"/>
          <w:szCs w:val="32"/>
        </w:rPr>
        <w:t>国中医药人教教育便函〔2011〕187号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）、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省下发的《关于开展河南省中医类别全科医师转岗培训工作的通知》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（</w:t>
      </w:r>
      <w:r>
        <w:rPr>
          <w:rFonts w:hint="eastAsia" w:ascii="宋体" w:hAnsi="宋体" w:eastAsia="华文仿宋" w:cs="宋体"/>
          <w:kern w:val="0"/>
          <w:sz w:val="32"/>
          <w:szCs w:val="32"/>
          <w:lang w:val="en-US" w:eastAsia="zh-CN"/>
        </w:rPr>
        <w:t>豫卫中医</w:t>
      </w:r>
      <w:r>
        <w:rPr>
          <w:rFonts w:ascii="宋体" w:hAnsi="宋体" w:cs="宋体"/>
          <w:kern w:val="0"/>
          <w:sz w:val="32"/>
          <w:szCs w:val="32"/>
        </w:rPr>
        <w:t>函〔20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20</w:t>
      </w:r>
      <w:r>
        <w:rPr>
          <w:rFonts w:ascii="宋体" w:hAnsi="宋体" w:cs="宋体"/>
          <w:kern w:val="0"/>
          <w:sz w:val="32"/>
          <w:szCs w:val="32"/>
        </w:rPr>
        <w:t>〕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66</w:t>
      </w:r>
      <w:r>
        <w:rPr>
          <w:rFonts w:ascii="宋体" w:hAnsi="宋体" w:cs="宋体"/>
          <w:kern w:val="0"/>
          <w:sz w:val="32"/>
          <w:szCs w:val="32"/>
        </w:rPr>
        <w:t>号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等一系列文件精神，经过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理论培训、10个月的临床轮训和1年的基层培训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，培养出合格的中医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基层全科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人才。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根据市局的安排，我院自2021年开始承担中医全科转岗培训人员为期10个月的临床培训工作，目前已连续4年承担该工作。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（二）项目总体预算和执行情况</w:t>
      </w:r>
    </w:p>
    <w:p>
      <w:pPr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根据《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河南省财政厅河南省卫生健康委关于提前下达2023年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医疗服务与保障能力提升补助资金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中医药事业传承与发展部分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预算的通知》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（豫财社〔202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〕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203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号）文件精神，202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年中央下达我院医疗服务能力（卫生健康人才培养培训）补助资金为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12.5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万，全部用于中医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全科转岗培训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的生活和教学补助。</w:t>
      </w:r>
    </w:p>
    <w:p>
      <w:pPr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目前资金已完成支出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11.6万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元，执行率为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92.8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%。我院将按照省、市、院资金管理办法的规定，按时完成该资金使用。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）</w:t>
      </w:r>
      <w:r>
        <w:rPr>
          <w:rFonts w:hint="eastAsia" w:ascii="仿宋_GB2312"/>
          <w:color w:val="auto"/>
          <w:sz w:val="32"/>
          <w:szCs w:val="32"/>
        </w:rPr>
        <w:t>绩效目标批复情况。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按照国家《基层医疗卫生机构中医全科医生转岗培训大纲（试行）》关于中医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全科转岗培训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培养目标的规定，进行推进实施。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评价方法为根据预算通过信息化系统自查数据进行总结。根据指标一级指标分为:成本指标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产出指标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效益指标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满意度指标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根据重要程度确定各项三级指标的权重分值，各项指标得分加总得出该项目绩效自评的总分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接绩效自评通知以来，我院进行了相关数据的收集和统计，对项目的自评做到了全面、客观。自评中涉及到的数据，如结业考核通过率等数据，可直接查阅省局下发</w:t>
      </w:r>
      <w:r>
        <w:rPr>
          <w:rFonts w:hint="eastAsia" w:ascii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/>
          <w:color w:val="auto"/>
          <w:sz w:val="32"/>
          <w:szCs w:val="32"/>
        </w:rPr>
        <w:t>结业的相关文件，项目执行过程中的资料留存完整、真实。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（一）自评结果</w:t>
      </w:r>
    </w:p>
    <w:p>
      <w:p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绩效自评中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涉及本中医全科转岗培训项目的评分有项目资金、资金管理情况，以及2项一级指标，3项二级指标，7项三级指标，根据绩效指标进行自评和打分。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项目资金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项目总体资金中，涉及本中医全科转岗项目的资金为12.5万元，2023年度使用经费11.6万元，执行率为92.8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本项目为连续性项目，每年均有市局下发的培训任务，且此资金的使用不限于一届学员，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因此执行过程中会出现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资金管理情况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20分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项目资金安排科学、合理，拨付合规，使用规范，预算绩效管理科学、合理，得分为20分。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成本指标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5分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240" w:lineRule="auto"/>
        <w:ind w:left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印刷培训手册等材料（1分）：印刷培训手册等材料0.59</w:t>
      </w:r>
    </w:p>
    <w:p>
      <w:pPr>
        <w:numPr>
          <w:ilvl w:val="0"/>
          <w:numId w:val="0"/>
        </w:numPr>
        <w:spacing w:line="240" w:lineRule="auto"/>
        <w:outlineLvl w:val="9"/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万元，完成率100%。得分1分。</w:t>
      </w:r>
    </w:p>
    <w:p>
      <w:pPr>
        <w:numPr>
          <w:ilvl w:val="0"/>
          <w:numId w:val="0"/>
        </w:numPr>
        <w:spacing w:line="240" w:lineRule="auto"/>
        <w:ind w:left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岗前培训（1分）：岗前培训费用0.3万元。完成率100%。</w:t>
      </w:r>
    </w:p>
    <w:p>
      <w:pPr>
        <w:numPr>
          <w:ilvl w:val="0"/>
          <w:numId w:val="0"/>
        </w:numPr>
        <w:spacing w:line="240" w:lineRule="auto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得分1分。</w:t>
      </w:r>
    </w:p>
    <w:p>
      <w:pPr>
        <w:numPr>
          <w:ilvl w:val="0"/>
          <w:numId w:val="0"/>
        </w:numPr>
        <w:spacing w:line="240" w:lineRule="auto"/>
        <w:ind w:left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带教费（1分）：带教费5万元。完成率100%。得分1</w:t>
      </w:r>
    </w:p>
    <w:p>
      <w:pPr>
        <w:numPr>
          <w:ilvl w:val="0"/>
          <w:numId w:val="0"/>
        </w:numPr>
        <w:spacing w:line="240" w:lineRule="auto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分。</w:t>
      </w:r>
    </w:p>
    <w:p>
      <w:pPr>
        <w:numPr>
          <w:ilvl w:val="0"/>
          <w:numId w:val="0"/>
        </w:numPr>
        <w:spacing w:line="240" w:lineRule="auto"/>
        <w:ind w:left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工作衣（1分）：工作衣0.71万元。完成率100%。得分</w:t>
      </w:r>
    </w:p>
    <w:p>
      <w:pPr>
        <w:numPr>
          <w:ilvl w:val="0"/>
          <w:numId w:val="0"/>
        </w:numPr>
        <w:spacing w:line="240" w:lineRule="auto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1分。</w:t>
      </w:r>
    </w:p>
    <w:p>
      <w:pPr>
        <w:numPr>
          <w:ilvl w:val="0"/>
          <w:numId w:val="0"/>
        </w:numPr>
        <w:spacing w:line="240" w:lineRule="auto"/>
        <w:ind w:left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学员补助（1分）：学员补助5万元。完成率100%。得</w:t>
      </w:r>
    </w:p>
    <w:p>
      <w:pPr>
        <w:numPr>
          <w:ilvl w:val="0"/>
          <w:numId w:val="0"/>
        </w:numPr>
        <w:spacing w:line="240" w:lineRule="auto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分1分。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产出指标（5.9分）</w:t>
      </w:r>
    </w:p>
    <w:p>
      <w:pPr>
        <w:numPr>
          <w:ilvl w:val="-1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</w:pP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>培训人数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2.9分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ab/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ab/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2023年度市局下发的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中医全科医师转岗培训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人员20人，因学员个人原因退出培训2人，实际培训人数为18人，完成率为90%。得分2.61分。</w:t>
      </w:r>
    </w:p>
    <w:p>
      <w:pPr>
        <w:numPr>
          <w:ilvl w:val="-1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中医全科医师转岗培训结业考核合格率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3分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）：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202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年度，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参加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中医全科医师转岗培训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结业考试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人员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13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人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13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人合格，合格率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100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</w:rPr>
        <w:t>%。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得分3分。</w:t>
      </w: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ab/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无偏差在30%以上项目。</w:t>
      </w:r>
    </w:p>
    <w:p>
      <w:pPr>
        <w:numPr>
          <w:ilvl w:val="0"/>
          <w:numId w:val="3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outlineLvl w:val="0"/>
        <w:rPr>
          <w:rFonts w:hint="eastAsia" w:ascii="仿宋_GB2312" w:hAnsi="Times New Roman" w:cs="Times New Roman"/>
          <w:sz w:val="32"/>
          <w:szCs w:val="32"/>
        </w:rPr>
      </w:pPr>
      <w:r>
        <w:rPr>
          <w:rFonts w:ascii="仿宋_GB2312" w:hAnsi="Times New Roman" w:cs="Times New Roman"/>
          <w:sz w:val="32"/>
          <w:szCs w:val="32"/>
        </w:rPr>
        <w:t>中医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全科转岗</w:t>
      </w:r>
      <w:r>
        <w:rPr>
          <w:rFonts w:ascii="仿宋_GB2312" w:hAnsi="Times New Roman" w:cs="Times New Roman"/>
          <w:sz w:val="32"/>
          <w:szCs w:val="32"/>
        </w:rPr>
        <w:t>培训为连续性项目</w:t>
      </w:r>
      <w:r>
        <w:rPr>
          <w:rFonts w:hint="eastAsia" w:ascii="仿宋_GB2312" w:hAnsi="Times New Roman" w:cs="Times New Roman"/>
          <w:sz w:val="32"/>
          <w:szCs w:val="32"/>
        </w:rPr>
        <w:t>，每届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转岗培训</w:t>
      </w:r>
      <w:r>
        <w:rPr>
          <w:rFonts w:ascii="仿宋_GB2312" w:hAnsi="Times New Roman" w:cs="Times New Roman"/>
          <w:sz w:val="32"/>
          <w:szCs w:val="32"/>
        </w:rPr>
        <w:t>医师在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我</w:t>
      </w:r>
      <w:r>
        <w:rPr>
          <w:rFonts w:ascii="仿宋_GB2312" w:hAnsi="Times New Roman" w:cs="Times New Roman"/>
          <w:sz w:val="32"/>
          <w:szCs w:val="32"/>
        </w:rPr>
        <w:t>基地通过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10个月</w:t>
      </w:r>
      <w:r>
        <w:rPr>
          <w:rFonts w:hint="eastAsia" w:ascii="仿宋_GB2312" w:hAnsi="Times New Roman" w:cs="Times New Roman"/>
          <w:sz w:val="32"/>
          <w:szCs w:val="32"/>
        </w:rPr>
        <w:t>的系统化培养，中医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全科</w:t>
      </w:r>
      <w:r>
        <w:rPr>
          <w:rFonts w:hint="eastAsia" w:ascii="仿宋_GB2312" w:hAnsi="Times New Roman" w:cs="Times New Roman"/>
          <w:sz w:val="32"/>
          <w:szCs w:val="32"/>
        </w:rPr>
        <w:t>综合水平明显提高，成为一名合格的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基层医疗机构</w:t>
      </w:r>
      <w:r>
        <w:rPr>
          <w:rFonts w:hint="eastAsia" w:ascii="仿宋_GB2312" w:hAnsi="Times New Roman" w:cs="Times New Roman"/>
          <w:sz w:val="32"/>
          <w:szCs w:val="32"/>
        </w:rPr>
        <w:t>中医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全科</w:t>
      </w:r>
      <w:r>
        <w:rPr>
          <w:rFonts w:hint="eastAsia" w:ascii="仿宋_GB2312" w:hAnsi="Times New Roman" w:cs="Times New Roman"/>
          <w:sz w:val="32"/>
          <w:szCs w:val="32"/>
        </w:rPr>
        <w:t>医师。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Times New Roman" w:cs="Times New Roman"/>
          <w:sz w:val="32"/>
          <w:szCs w:val="32"/>
          <w:lang w:eastAsia="zh-CN"/>
        </w:rPr>
      </w:pPr>
      <w:r>
        <w:rPr>
          <w:rFonts w:hint="eastAsia" w:ascii="仿宋_GB2312" w:hAnsi="Times New Roman" w:cs="Times New Roman"/>
          <w:sz w:val="32"/>
          <w:szCs w:val="32"/>
        </w:rPr>
        <w:t>截止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目前</w:t>
      </w:r>
      <w:r>
        <w:rPr>
          <w:rFonts w:hint="eastAsia" w:ascii="仿宋_GB2312" w:hAnsi="Times New Roman" w:cs="Times New Roman"/>
          <w:sz w:val="32"/>
          <w:szCs w:val="32"/>
        </w:rPr>
        <w:t>，根据文件下达的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12.5</w:t>
      </w:r>
      <w:r>
        <w:rPr>
          <w:rFonts w:hint="eastAsia" w:ascii="仿宋_GB2312" w:hAnsi="Times New Roman" w:cs="Times New Roman"/>
          <w:sz w:val="32"/>
          <w:szCs w:val="32"/>
        </w:rPr>
        <w:t>万专项资金，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已用11.6万</w:t>
      </w:r>
      <w:r>
        <w:rPr>
          <w:rFonts w:hint="eastAsia" w:ascii="仿宋_GB2312" w:hAnsi="Times New Roman" w:cs="Times New Roman"/>
          <w:sz w:val="32"/>
          <w:szCs w:val="32"/>
        </w:rPr>
        <w:t>元，剩余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0.9万</w:t>
      </w:r>
      <w:r>
        <w:rPr>
          <w:rFonts w:hint="eastAsia" w:ascii="仿宋_GB2312" w:hAnsi="Times New Roman" w:cs="Times New Roman"/>
          <w:sz w:val="32"/>
          <w:szCs w:val="32"/>
        </w:rPr>
        <w:t>元，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目前</w:t>
      </w:r>
      <w:r>
        <w:rPr>
          <w:rFonts w:hint="eastAsia" w:ascii="仿宋_GB2312" w:hAnsi="Times New Roman" w:cs="Times New Roman"/>
          <w:sz w:val="32"/>
          <w:szCs w:val="32"/>
        </w:rPr>
        <w:t>执行率为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92.8</w:t>
      </w:r>
      <w:r>
        <w:rPr>
          <w:rFonts w:hint="eastAsia" w:ascii="仿宋_GB2312" w:hAnsi="Times New Roman" w:cs="Times New Roman"/>
          <w:sz w:val="32"/>
          <w:szCs w:val="32"/>
        </w:rPr>
        <w:t>%</w:t>
      </w:r>
      <w:r>
        <w:rPr>
          <w:rFonts w:hint="eastAsia" w:ascii="仿宋_GB2312" w:hAnsi="Times New Roman" w:cs="Times New Roman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本项目为连续性项目，每年均有市局下发的培训任务，且此资金的使用不限于一届学员，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因此执行过程中会出现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资金支出滞后的问题。</w:t>
      </w:r>
    </w:p>
    <w:p>
      <w:pPr>
        <w:numPr>
          <w:ilvl w:val="0"/>
          <w:numId w:val="3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widowControl/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绩效自评工作的开展可以提高中医药项目资金使用效益，加大资金考核监管。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有些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项目为连续性项目，国家、省和医院制定有完善的制度和管理办法，总体培养目标和绩效目标明确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。以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年度为时间节点,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有些许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不符合项目的实际运行情况，会出现资金实际支出滞后的问题，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结果产出与预期目标不符合的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情况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</w:t>
      </w:r>
    </w:p>
    <w:p>
      <w:pPr>
        <w:spacing w:line="360" w:lineRule="auto"/>
        <w:ind w:firstLine="640" w:firstLineChars="200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建议专项资金及时拨付到位，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且考虑到项目实际的起始时间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和实际的使用要求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避免项目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我院将根据相关要求，严格按照预算和计划，按时完成。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无。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47960"/>
    <w:multiLevelType w:val="singleLevel"/>
    <w:tmpl w:val="A534796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D11A72"/>
    <w:multiLevelType w:val="singleLevel"/>
    <w:tmpl w:val="5AD11A72"/>
    <w:lvl w:ilvl="0" w:tentative="0">
      <w:start w:val="1"/>
      <w:numFmt w:val="chineseCounting"/>
      <w:suff w:val="nothing"/>
      <w:lvlText w:val="（%1）"/>
      <w:lvlJc w:val="left"/>
      <w:pPr>
        <w:ind w:left="-11"/>
      </w:pPr>
      <w:rPr>
        <w:rFonts w:hint="eastAsia"/>
      </w:rPr>
    </w:lvl>
  </w:abstractNum>
  <w:abstractNum w:abstractNumId="2">
    <w:nsid w:val="72668D50"/>
    <w:multiLevelType w:val="singleLevel"/>
    <w:tmpl w:val="72668D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RhZDlkOGRkMjE1NGUwY2EzMzM2NmQzZDYyYjE2YzA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1E36172"/>
    <w:rsid w:val="07532925"/>
    <w:rsid w:val="087370B9"/>
    <w:rsid w:val="08A6130D"/>
    <w:rsid w:val="0BF3482E"/>
    <w:rsid w:val="0E7B4B63"/>
    <w:rsid w:val="135724A2"/>
    <w:rsid w:val="139323BD"/>
    <w:rsid w:val="15C7584D"/>
    <w:rsid w:val="18C7346C"/>
    <w:rsid w:val="190478B9"/>
    <w:rsid w:val="19E40780"/>
    <w:rsid w:val="1A3C6C4F"/>
    <w:rsid w:val="1C346708"/>
    <w:rsid w:val="1D8048F0"/>
    <w:rsid w:val="238E494F"/>
    <w:rsid w:val="28D56B7C"/>
    <w:rsid w:val="2C2935DB"/>
    <w:rsid w:val="32713DBA"/>
    <w:rsid w:val="332B6989"/>
    <w:rsid w:val="33C864F0"/>
    <w:rsid w:val="35BC70FA"/>
    <w:rsid w:val="35E30B2B"/>
    <w:rsid w:val="375810A4"/>
    <w:rsid w:val="38312021"/>
    <w:rsid w:val="3A40634E"/>
    <w:rsid w:val="3A8219FA"/>
    <w:rsid w:val="3D234A32"/>
    <w:rsid w:val="412F3A2F"/>
    <w:rsid w:val="417E204F"/>
    <w:rsid w:val="42DE4B54"/>
    <w:rsid w:val="4305441B"/>
    <w:rsid w:val="493059DD"/>
    <w:rsid w:val="49CE3624"/>
    <w:rsid w:val="4A3809DD"/>
    <w:rsid w:val="4BA014AA"/>
    <w:rsid w:val="51971756"/>
    <w:rsid w:val="536C0A8D"/>
    <w:rsid w:val="54BA4CF5"/>
    <w:rsid w:val="55D653BA"/>
    <w:rsid w:val="5BD57A5E"/>
    <w:rsid w:val="5C92451D"/>
    <w:rsid w:val="61750921"/>
    <w:rsid w:val="66AB12FE"/>
    <w:rsid w:val="67AC6406"/>
    <w:rsid w:val="689E250C"/>
    <w:rsid w:val="69B019E1"/>
    <w:rsid w:val="6DEF0188"/>
    <w:rsid w:val="6FD430CB"/>
    <w:rsid w:val="73ED07EB"/>
    <w:rsid w:val="74A0585D"/>
    <w:rsid w:val="7645046A"/>
    <w:rsid w:val="777C4E26"/>
    <w:rsid w:val="78AE1C5E"/>
    <w:rsid w:val="7BB3231A"/>
    <w:rsid w:val="7FB87EFF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style21"/>
    <w:basedOn w:val="7"/>
    <w:uiPriority w:val="0"/>
    <w:rPr>
      <w:b/>
      <w:bCs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1741</Words>
  <Characters>1854</Characters>
  <Lines>2</Lines>
  <Paragraphs>1</Paragraphs>
  <TotalTime>1</TotalTime>
  <ScaleCrop>false</ScaleCrop>
  <LinksUpToDate>false</LinksUpToDate>
  <CharactersWithSpaces>1860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董元</cp:lastModifiedBy>
  <cp:lastPrinted>2019-08-16T09:07:00Z</cp:lastPrinted>
  <dcterms:modified xsi:type="dcterms:W3CDTF">2024-05-22T07:53:35Z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685B592EBFA4448BA2DCFC12DA03F678_12</vt:lpwstr>
  </property>
</Properties>
</file>